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21" w:rsidRDefault="001F6021" w:rsidP="001F6021">
      <w:pPr>
        <w:jc w:val="right"/>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3.pielikums</w:t>
      </w:r>
    </w:p>
    <w:p w:rsidR="00335E55" w:rsidRDefault="001F6021" w:rsidP="001F6021">
      <w:pPr>
        <w:jc w:val="center"/>
        <w:rPr>
          <w:rFonts w:ascii="Times New Roman" w:eastAsia="Times New Roman" w:hAnsi="Times New Roman" w:cs="Times New Roman"/>
          <w:b/>
          <w:sz w:val="24"/>
          <w:szCs w:val="24"/>
          <w:lang w:val="lv-LV"/>
        </w:rPr>
      </w:pPr>
      <w:r w:rsidRPr="008226E3">
        <w:rPr>
          <w:rFonts w:ascii="Times New Roman" w:eastAsia="Times New Roman" w:hAnsi="Times New Roman" w:cs="Times New Roman"/>
          <w:b/>
          <w:sz w:val="24"/>
          <w:szCs w:val="24"/>
          <w:lang w:val="lv-LV"/>
        </w:rPr>
        <w:t>P</w:t>
      </w:r>
      <w:bookmarkStart w:id="0" w:name="_GoBack"/>
      <w:r w:rsidRPr="008226E3">
        <w:rPr>
          <w:rFonts w:ascii="Times New Roman" w:eastAsia="Times New Roman" w:hAnsi="Times New Roman" w:cs="Times New Roman"/>
          <w:b/>
          <w:sz w:val="24"/>
          <w:szCs w:val="24"/>
          <w:lang w:val="lv-LV"/>
        </w:rPr>
        <w:t>R</w:t>
      </w:r>
      <w:bookmarkEnd w:id="0"/>
      <w:r w:rsidRPr="008226E3">
        <w:rPr>
          <w:rFonts w:ascii="Times New Roman" w:eastAsia="Times New Roman" w:hAnsi="Times New Roman" w:cs="Times New Roman"/>
          <w:b/>
          <w:sz w:val="24"/>
          <w:szCs w:val="24"/>
          <w:lang w:val="lv-LV"/>
        </w:rPr>
        <w:t>ASĪ</w:t>
      </w:r>
      <w:r>
        <w:rPr>
          <w:rFonts w:ascii="Times New Roman" w:eastAsia="Times New Roman" w:hAnsi="Times New Roman" w:cs="Times New Roman"/>
          <w:b/>
          <w:sz w:val="24"/>
          <w:szCs w:val="24"/>
          <w:lang w:val="lv-LV"/>
        </w:rPr>
        <w:t xml:space="preserve">BAS PRETENDENTU KVALIFIKĀCIJAI </w:t>
      </w:r>
      <w:r w:rsidRPr="008226E3">
        <w:rPr>
          <w:rFonts w:ascii="Times New Roman" w:eastAsia="Times New Roman" w:hAnsi="Times New Roman" w:cs="Times New Roman"/>
          <w:b/>
          <w:sz w:val="24"/>
          <w:szCs w:val="24"/>
          <w:lang w:val="lv-LV"/>
        </w:rPr>
        <w:t>UN IESNIEDZAMIE DOKUMENTI</w:t>
      </w:r>
    </w:p>
    <w:tbl>
      <w:tblPr>
        <w:tblW w:w="6035" w:type="pct"/>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814"/>
        <w:gridCol w:w="5762"/>
      </w:tblGrid>
      <w:tr w:rsidR="001F6021" w:rsidRPr="008226E3" w:rsidTr="001F6021">
        <w:trPr>
          <w:trHeight w:val="350"/>
          <w:tblHeader/>
        </w:trPr>
        <w:tc>
          <w:tcPr>
            <w:tcW w:w="403" w:type="pct"/>
            <w:shd w:val="clear" w:color="auto" w:fill="E7E6E6" w:themeFill="background2"/>
          </w:tcPr>
          <w:p w:rsidR="001F6021" w:rsidRPr="008226E3" w:rsidRDefault="001F6021" w:rsidP="004C18EA">
            <w:pPr>
              <w:widowControl w:val="0"/>
              <w:spacing w:after="0" w:line="240" w:lineRule="auto"/>
              <w:jc w:val="center"/>
              <w:rPr>
                <w:rFonts w:ascii="Times New Roman" w:eastAsia="Times New Roman" w:hAnsi="Times New Roman" w:cs="Times New Roman"/>
                <w:b/>
                <w:sz w:val="24"/>
                <w:szCs w:val="24"/>
                <w:lang w:val="lv-LV"/>
              </w:rPr>
            </w:pPr>
            <w:r w:rsidRPr="008226E3">
              <w:rPr>
                <w:rFonts w:ascii="Times New Roman" w:eastAsia="Times New Roman" w:hAnsi="Times New Roman" w:cs="Times New Roman"/>
                <w:b/>
                <w:sz w:val="24"/>
                <w:szCs w:val="24"/>
                <w:lang w:val="lv-LV"/>
              </w:rPr>
              <w:t>Nr.</w:t>
            </w:r>
          </w:p>
        </w:tc>
        <w:tc>
          <w:tcPr>
            <w:tcW w:w="1831" w:type="pct"/>
            <w:shd w:val="clear" w:color="auto" w:fill="E7E6E6" w:themeFill="background2"/>
          </w:tcPr>
          <w:p w:rsidR="001F6021" w:rsidRPr="008226E3" w:rsidRDefault="001F6021" w:rsidP="004C18EA">
            <w:pPr>
              <w:widowControl w:val="0"/>
              <w:spacing w:after="0" w:line="240" w:lineRule="auto"/>
              <w:jc w:val="center"/>
              <w:rPr>
                <w:rFonts w:ascii="Times New Roman" w:eastAsia="Times New Roman" w:hAnsi="Times New Roman" w:cs="Times New Roman"/>
                <w:b/>
                <w:sz w:val="24"/>
                <w:szCs w:val="24"/>
                <w:lang w:val="lv-LV"/>
              </w:rPr>
            </w:pPr>
            <w:r w:rsidRPr="008226E3">
              <w:rPr>
                <w:rFonts w:ascii="Times New Roman" w:eastAsia="Times New Roman" w:hAnsi="Times New Roman" w:cs="Times New Roman"/>
                <w:b/>
                <w:sz w:val="24"/>
                <w:szCs w:val="24"/>
                <w:lang w:val="lv-LV"/>
              </w:rPr>
              <w:t>Prasība</w:t>
            </w:r>
          </w:p>
        </w:tc>
        <w:tc>
          <w:tcPr>
            <w:tcW w:w="2765" w:type="pct"/>
            <w:shd w:val="clear" w:color="auto" w:fill="E7E6E6" w:themeFill="background2"/>
          </w:tcPr>
          <w:p w:rsidR="001F6021" w:rsidRPr="008226E3" w:rsidRDefault="001F6021" w:rsidP="004C18EA">
            <w:pPr>
              <w:widowControl w:val="0"/>
              <w:spacing w:after="0" w:line="240" w:lineRule="auto"/>
              <w:jc w:val="center"/>
              <w:rPr>
                <w:rFonts w:ascii="Times New Roman" w:eastAsia="Times New Roman" w:hAnsi="Times New Roman" w:cs="Times New Roman"/>
                <w:b/>
                <w:sz w:val="24"/>
                <w:szCs w:val="24"/>
                <w:lang w:val="lv-LV"/>
              </w:rPr>
            </w:pPr>
            <w:r w:rsidRPr="008226E3">
              <w:rPr>
                <w:rFonts w:ascii="Times New Roman" w:eastAsia="Times New Roman" w:hAnsi="Times New Roman" w:cs="Times New Roman"/>
                <w:b/>
                <w:sz w:val="24"/>
                <w:szCs w:val="24"/>
                <w:lang w:val="lv-LV"/>
              </w:rPr>
              <w:t>Iesniedzamais dokuments</w:t>
            </w:r>
          </w:p>
        </w:tc>
      </w:tr>
      <w:tr w:rsidR="001F6021" w:rsidRPr="008226E3" w:rsidTr="001F6021">
        <w:trPr>
          <w:trHeight w:val="273"/>
        </w:trPr>
        <w:tc>
          <w:tcPr>
            <w:tcW w:w="403" w:type="pct"/>
            <w:shd w:val="clear" w:color="auto" w:fill="F2F2F2" w:themeFill="background1" w:themeFillShade="F2"/>
          </w:tcPr>
          <w:p w:rsidR="001F6021" w:rsidRPr="008226E3" w:rsidRDefault="001F6021" w:rsidP="001F6021">
            <w:pPr>
              <w:widowControl w:val="0"/>
              <w:numPr>
                <w:ilvl w:val="1"/>
                <w:numId w:val="1"/>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lang w:val="lv-LV"/>
              </w:rPr>
            </w:pPr>
          </w:p>
        </w:tc>
        <w:tc>
          <w:tcPr>
            <w:tcW w:w="4597" w:type="pct"/>
            <w:gridSpan w:val="2"/>
            <w:shd w:val="clear" w:color="auto" w:fill="F2F2F2" w:themeFill="background1" w:themeFillShade="F2"/>
          </w:tcPr>
          <w:p w:rsidR="001F6021" w:rsidRPr="008226E3" w:rsidRDefault="001F6021" w:rsidP="004C18EA">
            <w:pPr>
              <w:widowControl w:val="0"/>
              <w:spacing w:after="0" w:line="240" w:lineRule="auto"/>
              <w:jc w:val="both"/>
              <w:rPr>
                <w:rFonts w:ascii="Times New Roman" w:eastAsia="Times New Roman" w:hAnsi="Times New Roman" w:cs="Times New Roman"/>
                <w:b/>
                <w:sz w:val="24"/>
                <w:szCs w:val="24"/>
                <w:lang w:val="lv-LV"/>
              </w:rPr>
            </w:pPr>
            <w:r w:rsidRPr="008226E3">
              <w:rPr>
                <w:rFonts w:ascii="Times New Roman" w:eastAsia="Times New Roman" w:hAnsi="Times New Roman" w:cs="Times New Roman"/>
                <w:b/>
                <w:sz w:val="24"/>
                <w:szCs w:val="24"/>
                <w:lang w:val="lv-LV"/>
              </w:rPr>
              <w:t>Vispārīgi</w:t>
            </w:r>
          </w:p>
        </w:tc>
      </w:tr>
      <w:tr w:rsidR="001F6021" w:rsidRPr="001F6021" w:rsidTr="001F6021">
        <w:tc>
          <w:tcPr>
            <w:tcW w:w="403" w:type="pct"/>
            <w:tcBorders>
              <w:top w:val="single" w:sz="4" w:space="0" w:color="auto"/>
              <w:left w:val="single" w:sz="4" w:space="0" w:color="auto"/>
              <w:bottom w:val="single" w:sz="4" w:space="0" w:color="auto"/>
              <w:right w:val="single" w:sz="4" w:space="0" w:color="auto"/>
            </w:tcBorders>
          </w:tcPr>
          <w:p w:rsidR="001F6021" w:rsidRPr="008226E3" w:rsidRDefault="001F6021" w:rsidP="001F6021">
            <w:pPr>
              <w:widowControl w:val="0"/>
              <w:numPr>
                <w:ilvl w:val="2"/>
                <w:numId w:val="1"/>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lang w:val="lv-LV"/>
              </w:rPr>
            </w:pPr>
          </w:p>
        </w:tc>
        <w:tc>
          <w:tcPr>
            <w:tcW w:w="1831" w:type="pct"/>
            <w:tcBorders>
              <w:top w:val="single" w:sz="4" w:space="0" w:color="auto"/>
              <w:left w:val="single" w:sz="4" w:space="0" w:color="auto"/>
              <w:bottom w:val="single" w:sz="4" w:space="0" w:color="auto"/>
              <w:right w:val="single" w:sz="4" w:space="0" w:color="auto"/>
            </w:tcBorders>
            <w:shd w:val="clear" w:color="auto" w:fill="auto"/>
          </w:tcPr>
          <w:p w:rsidR="001F6021" w:rsidRPr="008226E3" w:rsidRDefault="001F6021" w:rsidP="001F6021">
            <w:pPr>
              <w:widowControl w:val="0"/>
              <w:spacing w:after="0" w:line="240" w:lineRule="auto"/>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sz w:val="24"/>
                <w:szCs w:val="24"/>
                <w:lang w:val="lv-LV"/>
              </w:rPr>
              <w:t xml:space="preserve">Pretendents piekrīt dalībai </w:t>
            </w:r>
            <w:r>
              <w:rPr>
                <w:rFonts w:ascii="Times New Roman" w:eastAsia="Times New Roman" w:hAnsi="Times New Roman" w:cs="Times New Roman"/>
                <w:sz w:val="24"/>
                <w:szCs w:val="24"/>
                <w:lang w:val="lv-LV"/>
              </w:rPr>
              <w:t>Tirgus izpētē</w:t>
            </w:r>
            <w:r w:rsidRPr="008226E3">
              <w:rPr>
                <w:rFonts w:ascii="Times New Roman" w:eastAsia="Times New Roman" w:hAnsi="Times New Roman" w:cs="Times New Roman"/>
                <w:sz w:val="24"/>
                <w:szCs w:val="24"/>
                <w:lang w:val="lv-LV"/>
              </w:rPr>
              <w:t xml:space="preserve"> atbilstoši </w:t>
            </w:r>
            <w:r>
              <w:rPr>
                <w:rFonts w:ascii="Times New Roman" w:eastAsia="Times New Roman" w:hAnsi="Times New Roman" w:cs="Times New Roman"/>
                <w:sz w:val="24"/>
                <w:szCs w:val="24"/>
                <w:lang w:val="lv-LV"/>
              </w:rPr>
              <w:t xml:space="preserve">minētām </w:t>
            </w:r>
            <w:r w:rsidRPr="008226E3">
              <w:rPr>
                <w:rFonts w:ascii="Times New Roman" w:eastAsia="Times New Roman" w:hAnsi="Times New Roman" w:cs="Times New Roman"/>
                <w:sz w:val="24"/>
                <w:szCs w:val="24"/>
                <w:lang w:val="lv-LV"/>
              </w:rPr>
              <w:t>prasībām.</w:t>
            </w:r>
          </w:p>
        </w:tc>
        <w:tc>
          <w:tcPr>
            <w:tcW w:w="2765" w:type="pct"/>
            <w:tcBorders>
              <w:top w:val="single" w:sz="4" w:space="0" w:color="auto"/>
              <w:left w:val="single" w:sz="4" w:space="0" w:color="auto"/>
              <w:bottom w:val="single" w:sz="4" w:space="0" w:color="auto"/>
              <w:right w:val="single" w:sz="4" w:space="0" w:color="auto"/>
            </w:tcBorders>
            <w:shd w:val="clear" w:color="auto" w:fill="auto"/>
          </w:tcPr>
          <w:p w:rsidR="001F6021" w:rsidRPr="008226E3" w:rsidRDefault="001F6021" w:rsidP="001F6021">
            <w:pPr>
              <w:widowControl w:val="0"/>
              <w:spacing w:after="0" w:line="240" w:lineRule="auto"/>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b/>
                <w:bCs/>
                <w:sz w:val="24"/>
                <w:szCs w:val="24"/>
                <w:lang w:val="lv-LV"/>
              </w:rPr>
              <w:t xml:space="preserve">Pieteikums </w:t>
            </w:r>
            <w:r w:rsidRPr="008226E3">
              <w:rPr>
                <w:rFonts w:ascii="Times New Roman" w:eastAsia="Times New Roman" w:hAnsi="Times New Roman" w:cs="Times New Roman"/>
                <w:sz w:val="24"/>
                <w:szCs w:val="24"/>
                <w:lang w:val="lv-LV"/>
              </w:rPr>
              <w:t xml:space="preserve">dalībai </w:t>
            </w:r>
            <w:r>
              <w:rPr>
                <w:rFonts w:ascii="Times New Roman" w:eastAsia="Times New Roman" w:hAnsi="Times New Roman" w:cs="Times New Roman"/>
                <w:sz w:val="24"/>
                <w:szCs w:val="24"/>
                <w:lang w:val="lv-LV"/>
              </w:rPr>
              <w:t>Tirgus izpētē</w:t>
            </w:r>
            <w:r w:rsidRPr="008226E3">
              <w:rPr>
                <w:rFonts w:ascii="Times New Roman" w:eastAsia="Times New Roman" w:hAnsi="Times New Roman" w:cs="Times New Roman"/>
                <w:sz w:val="24"/>
                <w:szCs w:val="24"/>
                <w:lang w:val="lv-LV"/>
              </w:rPr>
              <w:t xml:space="preserve"> saskaņā ar </w:t>
            </w:r>
            <w:r>
              <w:rPr>
                <w:rFonts w:ascii="Times New Roman" w:eastAsia="Times New Roman" w:hAnsi="Times New Roman" w:cs="Times New Roman"/>
                <w:sz w:val="24"/>
                <w:szCs w:val="24"/>
                <w:lang w:val="lv-LV"/>
              </w:rPr>
              <w:t>aicinājuma</w:t>
            </w:r>
            <w:r w:rsidRPr="008226E3">
              <w:rPr>
                <w:rFonts w:ascii="Times New Roman" w:eastAsia="Times New Roman" w:hAnsi="Times New Roman" w:cs="Times New Roman"/>
                <w:sz w:val="24"/>
                <w:szCs w:val="24"/>
                <w:lang w:val="lv-LV"/>
              </w:rPr>
              <w:t xml:space="preserve"> 2. pielikumu.</w:t>
            </w:r>
          </w:p>
        </w:tc>
      </w:tr>
      <w:tr w:rsidR="001F6021" w:rsidRPr="001F6021" w:rsidTr="001F6021">
        <w:tc>
          <w:tcPr>
            <w:tcW w:w="403" w:type="pct"/>
            <w:tcBorders>
              <w:top w:val="single" w:sz="4" w:space="0" w:color="auto"/>
              <w:left w:val="single" w:sz="4" w:space="0" w:color="auto"/>
              <w:bottom w:val="single" w:sz="4" w:space="0" w:color="auto"/>
              <w:right w:val="single" w:sz="4" w:space="0" w:color="auto"/>
            </w:tcBorders>
          </w:tcPr>
          <w:p w:rsidR="001F6021" w:rsidRPr="008226E3" w:rsidRDefault="001F6021" w:rsidP="001F6021">
            <w:pPr>
              <w:widowControl w:val="0"/>
              <w:numPr>
                <w:ilvl w:val="2"/>
                <w:numId w:val="1"/>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lang w:val="lv-LV"/>
              </w:rPr>
            </w:pPr>
          </w:p>
        </w:tc>
        <w:tc>
          <w:tcPr>
            <w:tcW w:w="1831" w:type="pct"/>
            <w:tcBorders>
              <w:top w:val="single" w:sz="4" w:space="0" w:color="auto"/>
              <w:left w:val="single" w:sz="4" w:space="0" w:color="auto"/>
              <w:bottom w:val="single" w:sz="4" w:space="0" w:color="auto"/>
              <w:right w:val="single" w:sz="4" w:space="0" w:color="auto"/>
            </w:tcBorders>
            <w:shd w:val="clear" w:color="auto" w:fill="auto"/>
          </w:tcPr>
          <w:p w:rsidR="001F6021" w:rsidRPr="008226E3" w:rsidRDefault="001F6021" w:rsidP="004C18EA">
            <w:pPr>
              <w:widowControl w:val="0"/>
              <w:spacing w:after="0" w:line="240" w:lineRule="auto"/>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sz w:val="24"/>
                <w:szCs w:val="24"/>
                <w:lang w:val="lv-LV"/>
              </w:rPr>
              <w:t>Pretendents ir reģistrēts atbilstoši reģistrācijas vai pastāvīgās dzīvesvietas valsts normatīvo aktu prasībām.</w:t>
            </w:r>
          </w:p>
        </w:tc>
        <w:tc>
          <w:tcPr>
            <w:tcW w:w="2765" w:type="pct"/>
            <w:tcBorders>
              <w:top w:val="single" w:sz="4" w:space="0" w:color="auto"/>
              <w:left w:val="single" w:sz="4" w:space="0" w:color="auto"/>
              <w:bottom w:val="single" w:sz="4" w:space="0" w:color="auto"/>
              <w:right w:val="single" w:sz="4" w:space="0" w:color="auto"/>
            </w:tcBorders>
            <w:shd w:val="clear" w:color="auto" w:fill="auto"/>
          </w:tcPr>
          <w:p w:rsidR="001F6021" w:rsidRPr="008226E3" w:rsidRDefault="001F6021" w:rsidP="004C18EA">
            <w:pPr>
              <w:widowControl w:val="0"/>
              <w:spacing w:after="0" w:line="240" w:lineRule="auto"/>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sz w:val="24"/>
                <w:szCs w:val="24"/>
                <w:lang w:val="lv-LV"/>
              </w:rPr>
              <w:t xml:space="preserve">Par Latvijas Republikā reģistrētu Pretendentu reģistrāciju atbilstoši normatīvo aktu prasībām Komisija pārliecinās Uzņēmumu reģistra datubāzē. </w:t>
            </w:r>
          </w:p>
          <w:p w:rsidR="001F6021" w:rsidRPr="008226E3" w:rsidRDefault="001F6021" w:rsidP="004C18EA">
            <w:pPr>
              <w:widowControl w:val="0"/>
              <w:spacing w:after="0" w:line="240" w:lineRule="auto"/>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sz w:val="24"/>
                <w:szCs w:val="24"/>
                <w:lang w:val="lv-LV"/>
              </w:rPr>
              <w:t>Ārvalstī reģistrēts Pretendents iesniedz attiecīgās valsts kompetentās institūcijas izsniegtu dokumentu,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datumu, kā arī norāda kompetento iestādi reģistrācijas valstī, kas nepieciešamības gadījumā var apliecināt reģistrācijas faktu.</w:t>
            </w:r>
          </w:p>
        </w:tc>
      </w:tr>
      <w:tr w:rsidR="001F6021" w:rsidRPr="001F6021" w:rsidTr="001F6021">
        <w:tc>
          <w:tcPr>
            <w:tcW w:w="403" w:type="pct"/>
            <w:tcBorders>
              <w:top w:val="single" w:sz="4" w:space="0" w:color="auto"/>
              <w:left w:val="single" w:sz="4" w:space="0" w:color="auto"/>
              <w:bottom w:val="single" w:sz="4" w:space="0" w:color="auto"/>
              <w:right w:val="single" w:sz="4" w:space="0" w:color="auto"/>
            </w:tcBorders>
          </w:tcPr>
          <w:p w:rsidR="001F6021" w:rsidRPr="008226E3" w:rsidRDefault="001F6021" w:rsidP="001F6021">
            <w:pPr>
              <w:widowControl w:val="0"/>
              <w:numPr>
                <w:ilvl w:val="2"/>
                <w:numId w:val="1"/>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lang w:val="lv-LV"/>
              </w:rPr>
            </w:pPr>
          </w:p>
        </w:tc>
        <w:tc>
          <w:tcPr>
            <w:tcW w:w="1831" w:type="pct"/>
            <w:tcBorders>
              <w:top w:val="single" w:sz="4" w:space="0" w:color="auto"/>
              <w:left w:val="single" w:sz="4" w:space="0" w:color="auto"/>
              <w:bottom w:val="single" w:sz="4" w:space="0" w:color="auto"/>
              <w:right w:val="single" w:sz="4" w:space="0" w:color="auto"/>
            </w:tcBorders>
            <w:shd w:val="clear" w:color="auto" w:fill="auto"/>
          </w:tcPr>
          <w:p w:rsidR="001F6021" w:rsidRPr="008226E3" w:rsidRDefault="001F6021" w:rsidP="004C18EA">
            <w:pPr>
              <w:spacing w:after="0" w:line="240" w:lineRule="auto"/>
              <w:jc w:val="both"/>
              <w:rPr>
                <w:rFonts w:ascii="Times New Roman" w:eastAsia="Times New Roman" w:hAnsi="Times New Roman" w:cs="Times New Roman"/>
                <w:color w:val="000000" w:themeColor="text1"/>
                <w:sz w:val="24"/>
                <w:szCs w:val="24"/>
                <w:lang w:val="lv-LV"/>
              </w:rPr>
            </w:pPr>
            <w:r w:rsidRPr="008226E3">
              <w:rPr>
                <w:rFonts w:ascii="Times New Roman" w:eastAsia="Times New Roman" w:hAnsi="Times New Roman" w:cs="Times New Roman"/>
                <w:color w:val="000000" w:themeColor="text1"/>
                <w:sz w:val="24"/>
                <w:szCs w:val="24"/>
                <w:lang w:val="lv-LV"/>
              </w:rPr>
              <w:t>Pretendents ir reģistrēts Latvijas Republikas Būvkomersantu reģistrā vai līdzvērtīgā, atbilstošā sfērā ārvalstu reģistrā, ja to paredz normatīvie akti.</w:t>
            </w:r>
          </w:p>
          <w:p w:rsidR="001F6021" w:rsidRPr="008226E3" w:rsidRDefault="001F6021" w:rsidP="004C18EA">
            <w:pPr>
              <w:spacing w:after="0" w:line="240" w:lineRule="auto"/>
              <w:jc w:val="both"/>
              <w:rPr>
                <w:rFonts w:ascii="Times New Roman" w:eastAsia="Times New Roman" w:hAnsi="Times New Roman" w:cs="Times New Roman"/>
                <w:color w:val="000000" w:themeColor="text1"/>
                <w:sz w:val="24"/>
                <w:szCs w:val="24"/>
                <w:lang w:val="lv-LV"/>
              </w:rPr>
            </w:pPr>
            <w:r w:rsidRPr="008226E3">
              <w:rPr>
                <w:rFonts w:ascii="Times New Roman" w:eastAsia="Times New Roman" w:hAnsi="Times New Roman" w:cs="Times New Roman"/>
                <w:color w:val="000000" w:themeColor="text1"/>
                <w:sz w:val="24"/>
                <w:szCs w:val="24"/>
                <w:lang w:val="lv-LV"/>
              </w:rPr>
              <w:t>Prasība attiecas arī uz visiem piegādātāju apvienības dalībniekiem (ja piedāvājumu iesniedz piegādātāju apvienība), kā arī personas (t.sk. apakšuzņēmējiem), uz kuru iespējām Pretendents balstās.</w:t>
            </w:r>
          </w:p>
          <w:p w:rsidR="001F6021" w:rsidRPr="008226E3" w:rsidRDefault="001F6021" w:rsidP="004C18EA">
            <w:pPr>
              <w:widowControl w:val="0"/>
              <w:spacing w:after="0" w:line="240" w:lineRule="auto"/>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color w:val="000000" w:themeColor="text1"/>
                <w:sz w:val="24"/>
                <w:szCs w:val="24"/>
                <w:lang w:val="lv-LV"/>
              </w:rPr>
              <w:t>Pretendentam, tā apakšuzņēmējiem un personām, uz kuru iespējām Pretendents balstās, uz būvdarbu uzsākšanas brīdi jābūt reģistrētam Latvijas Republikas Būvkomersantu reģistrā.</w:t>
            </w:r>
          </w:p>
        </w:tc>
        <w:tc>
          <w:tcPr>
            <w:tcW w:w="2765" w:type="pct"/>
            <w:tcBorders>
              <w:top w:val="single" w:sz="4" w:space="0" w:color="auto"/>
              <w:left w:val="single" w:sz="4" w:space="0" w:color="auto"/>
              <w:bottom w:val="single" w:sz="4" w:space="0" w:color="auto"/>
              <w:right w:val="single" w:sz="4" w:space="0" w:color="auto"/>
            </w:tcBorders>
            <w:shd w:val="clear" w:color="auto" w:fill="auto"/>
          </w:tcPr>
          <w:p w:rsidR="001F6021" w:rsidRPr="008226E3" w:rsidRDefault="001F6021" w:rsidP="001F6021">
            <w:pPr>
              <w:numPr>
                <w:ilvl w:val="0"/>
                <w:numId w:val="4"/>
              </w:numPr>
              <w:spacing w:after="120" w:line="240" w:lineRule="auto"/>
              <w:ind w:left="287" w:hanging="283"/>
              <w:jc w:val="both"/>
              <w:rPr>
                <w:rFonts w:ascii="Times New Roman" w:eastAsia="Times New Roman" w:hAnsi="Times New Roman" w:cs="Times New Roman"/>
                <w:b/>
                <w:color w:val="000000" w:themeColor="text1"/>
                <w:sz w:val="24"/>
                <w:szCs w:val="24"/>
                <w:lang w:val="lv-LV"/>
              </w:rPr>
            </w:pPr>
            <w:r w:rsidRPr="008226E3">
              <w:rPr>
                <w:rFonts w:ascii="Times New Roman" w:eastAsia="Times New Roman" w:hAnsi="Times New Roman" w:cs="Times New Roman"/>
                <w:b/>
                <w:color w:val="000000" w:themeColor="text1"/>
                <w:sz w:val="24"/>
                <w:szCs w:val="24"/>
                <w:lang w:val="lv-LV"/>
              </w:rPr>
              <w:t xml:space="preserve">Ārvalstī reģistrēts Pretendents </w:t>
            </w:r>
            <w:r w:rsidRPr="008226E3">
              <w:rPr>
                <w:rFonts w:ascii="Times New Roman" w:eastAsia="Times New Roman" w:hAnsi="Times New Roman" w:cs="Times New Roman"/>
                <w:color w:val="000000" w:themeColor="text1"/>
                <w:sz w:val="24"/>
                <w:szCs w:val="24"/>
                <w:lang w:val="lv-LV"/>
              </w:rPr>
              <w:t>iesniedz attiecīgās valsts normatīvajos aktos paredzētajā kārtībā veiktas reģistrācijas faktu apliecinošu dokumentu (kompetentas institūcijas izsniegta licence, sertifikāts vai cits līdzvērtīgs dokuments, ja attiecīgās valsts normatīvie tiesību akti paredz profesionālo reģistrāciju, licences, sertifikātu vai citu līdzvērtīgu dokumentu iesniegšanu) vai norāda publiski pieejamu resursu, kur Pasūtītājs varēs pārliecināties par ārvalstu piegādātāja reģistrācijas faktu.</w:t>
            </w:r>
          </w:p>
          <w:p w:rsidR="001F6021" w:rsidRPr="008226E3" w:rsidRDefault="001F6021" w:rsidP="001F6021">
            <w:pPr>
              <w:numPr>
                <w:ilvl w:val="0"/>
                <w:numId w:val="4"/>
              </w:numPr>
              <w:spacing w:after="0" w:line="240" w:lineRule="auto"/>
              <w:ind w:left="287" w:hanging="283"/>
              <w:jc w:val="both"/>
              <w:rPr>
                <w:rFonts w:ascii="Times New Roman" w:eastAsia="Times New Roman" w:hAnsi="Times New Roman" w:cs="Times New Roman"/>
                <w:b/>
                <w:color w:val="000000" w:themeColor="text1"/>
                <w:sz w:val="24"/>
                <w:szCs w:val="24"/>
                <w:lang w:val="lv-LV"/>
              </w:rPr>
            </w:pPr>
            <w:r w:rsidRPr="008226E3">
              <w:rPr>
                <w:rFonts w:ascii="Times New Roman" w:eastAsia="Times New Roman" w:hAnsi="Times New Roman" w:cs="Times New Roman"/>
                <w:b/>
                <w:color w:val="000000" w:themeColor="text1"/>
                <w:sz w:val="24"/>
                <w:szCs w:val="24"/>
                <w:lang w:val="lv-LV"/>
              </w:rPr>
              <w:t xml:space="preserve">Pretendents, kas nav reģistrēts Latvijas Republikas Būvkomersantu reģistrā, </w:t>
            </w:r>
            <w:r w:rsidRPr="008226E3">
              <w:rPr>
                <w:rFonts w:ascii="Times New Roman" w:eastAsia="Times New Roman" w:hAnsi="Times New Roman" w:cs="Times New Roman"/>
                <w:color w:val="000000" w:themeColor="text1"/>
                <w:sz w:val="24"/>
                <w:szCs w:val="24"/>
                <w:lang w:val="lv-LV"/>
              </w:rPr>
              <w:t>iesniedz apliecinājumu, ka gadījumā, ja tam piešķirs Iepirkuma līguma slēgšanas tiesības, līdz Iepirkuma līguma slēgšanas dienai reģistrēsies Latvijas Republikas Būvkomersantu reģistrā.</w:t>
            </w:r>
          </w:p>
          <w:p w:rsidR="001F6021" w:rsidRPr="008226E3" w:rsidRDefault="001F6021" w:rsidP="001F6021">
            <w:pPr>
              <w:numPr>
                <w:ilvl w:val="0"/>
                <w:numId w:val="4"/>
              </w:numPr>
              <w:spacing w:after="0" w:line="240" w:lineRule="auto"/>
              <w:ind w:left="287" w:hanging="283"/>
              <w:jc w:val="both"/>
              <w:rPr>
                <w:rFonts w:ascii="Times New Roman" w:eastAsia="Times New Roman" w:hAnsi="Times New Roman" w:cs="Times New Roman"/>
                <w:b/>
                <w:color w:val="000000" w:themeColor="text1"/>
                <w:sz w:val="24"/>
                <w:szCs w:val="24"/>
                <w:lang w:val="lv-LV"/>
              </w:rPr>
            </w:pPr>
            <w:r w:rsidRPr="008226E3">
              <w:rPr>
                <w:rFonts w:ascii="Times New Roman" w:eastAsia="Times New Roman" w:hAnsi="Times New Roman" w:cs="Times New Roman"/>
                <w:b/>
                <w:color w:val="000000" w:themeColor="text1"/>
                <w:sz w:val="24"/>
                <w:szCs w:val="24"/>
                <w:lang w:val="lv-LV"/>
              </w:rPr>
              <w:t>Piegādātāju apvienība</w:t>
            </w:r>
            <w:r w:rsidRPr="008226E3">
              <w:rPr>
                <w:rFonts w:ascii="Times New Roman" w:eastAsia="Times New Roman" w:hAnsi="Times New Roman" w:cs="Times New Roman"/>
                <w:color w:val="000000" w:themeColor="text1"/>
                <w:sz w:val="24"/>
                <w:szCs w:val="24"/>
                <w:lang w:val="lv-LV"/>
              </w:rPr>
              <w:t xml:space="preserve"> iesniedz apliecinājumu, ka gadījumā, ja tai piešķir Iepirkuma līguma slēgšanas tiesības, tā līdz Iepirkuma līguma slēgšanas dienai noformēsies atbilstoši noteiktam juridiskam statusam un tiks reģistrēta Latvijas Republikas Būvkomersantu reģistrā.</w:t>
            </w:r>
          </w:p>
          <w:p w:rsidR="001F6021" w:rsidRPr="008226E3" w:rsidRDefault="001F6021" w:rsidP="004C18EA">
            <w:pPr>
              <w:widowControl w:val="0"/>
              <w:spacing w:after="0" w:line="240" w:lineRule="auto"/>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color w:val="000000" w:themeColor="text1"/>
                <w:sz w:val="24"/>
                <w:szCs w:val="24"/>
                <w:lang w:val="lv-LV"/>
              </w:rPr>
              <w:t xml:space="preserve">Latvijas Republikas </w:t>
            </w:r>
            <w:r w:rsidRPr="008226E3">
              <w:rPr>
                <w:rFonts w:ascii="Times New Roman" w:eastAsia="Times New Roman" w:hAnsi="Times New Roman" w:cs="Times New Roman"/>
                <w:b/>
                <w:color w:val="000000" w:themeColor="text1"/>
                <w:sz w:val="24"/>
                <w:szCs w:val="24"/>
                <w:lang w:val="lv-LV"/>
              </w:rPr>
              <w:t>Būvkomersantu reģistrā reģistrētam Pretendentam</w:t>
            </w:r>
            <w:r w:rsidRPr="008226E3">
              <w:rPr>
                <w:rFonts w:ascii="Times New Roman" w:eastAsia="Times New Roman" w:hAnsi="Times New Roman" w:cs="Times New Roman"/>
                <w:color w:val="000000" w:themeColor="text1"/>
                <w:sz w:val="24"/>
                <w:szCs w:val="24"/>
                <w:lang w:val="lv-LV"/>
              </w:rPr>
              <w:t xml:space="preserve">, tā piesaistītajiem </w:t>
            </w:r>
            <w:r w:rsidRPr="008226E3">
              <w:rPr>
                <w:rFonts w:ascii="Times New Roman" w:eastAsia="Times New Roman" w:hAnsi="Times New Roman" w:cs="Times New Roman"/>
                <w:color w:val="000000" w:themeColor="text1"/>
                <w:sz w:val="24"/>
                <w:szCs w:val="24"/>
                <w:lang w:val="lv-LV"/>
              </w:rPr>
              <w:lastRenderedPageBreak/>
              <w:t>apakšuzņēmējiem, piegādātāju apvienībai vai personālsabiedrībai kā Pretendenta dalībniekam, dokuments nav jāiesniedz, Komisija pārbaudīs informāciju Latvijas Republikas Būvkomersantu reģistrā.</w:t>
            </w:r>
          </w:p>
        </w:tc>
      </w:tr>
      <w:tr w:rsidR="001F6021" w:rsidRPr="001F6021" w:rsidTr="001F6021">
        <w:trPr>
          <w:trHeight w:val="444"/>
        </w:trPr>
        <w:tc>
          <w:tcPr>
            <w:tcW w:w="403" w:type="pct"/>
            <w:tcBorders>
              <w:top w:val="single" w:sz="4" w:space="0" w:color="auto"/>
              <w:left w:val="single" w:sz="4" w:space="0" w:color="auto"/>
              <w:bottom w:val="single" w:sz="4" w:space="0" w:color="auto"/>
              <w:right w:val="single" w:sz="4" w:space="0" w:color="auto"/>
            </w:tcBorders>
            <w:shd w:val="clear" w:color="auto" w:fill="auto"/>
          </w:tcPr>
          <w:p w:rsidR="001F6021" w:rsidRPr="008226E3" w:rsidRDefault="001F6021" w:rsidP="001F6021">
            <w:pPr>
              <w:widowControl w:val="0"/>
              <w:numPr>
                <w:ilvl w:val="2"/>
                <w:numId w:val="1"/>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lang w:val="lv-LV"/>
              </w:rPr>
            </w:pPr>
          </w:p>
        </w:tc>
        <w:tc>
          <w:tcPr>
            <w:tcW w:w="1831" w:type="pct"/>
            <w:tcBorders>
              <w:top w:val="single" w:sz="4" w:space="0" w:color="auto"/>
              <w:left w:val="single" w:sz="4" w:space="0" w:color="auto"/>
              <w:bottom w:val="single" w:sz="4" w:space="0" w:color="auto"/>
              <w:right w:val="single" w:sz="4" w:space="0" w:color="auto"/>
            </w:tcBorders>
            <w:shd w:val="clear" w:color="auto" w:fill="auto"/>
          </w:tcPr>
          <w:p w:rsidR="001F6021" w:rsidRPr="008226E3" w:rsidRDefault="001F6021" w:rsidP="004C18EA">
            <w:pPr>
              <w:widowControl w:val="0"/>
              <w:spacing w:after="0" w:line="240" w:lineRule="auto"/>
              <w:jc w:val="both"/>
              <w:rPr>
                <w:rFonts w:ascii="Times New Roman" w:eastAsia="Calibri" w:hAnsi="Times New Roman" w:cs="Times New Roman"/>
                <w:bCs/>
                <w:sz w:val="24"/>
                <w:szCs w:val="24"/>
                <w:lang w:val="lv-LV"/>
              </w:rPr>
            </w:pPr>
            <w:r w:rsidRPr="008226E3">
              <w:rPr>
                <w:rFonts w:ascii="Times New Roman" w:eastAsia="Times New Roman" w:hAnsi="Times New Roman" w:cs="Times New Roman"/>
                <w:sz w:val="24"/>
                <w:szCs w:val="24"/>
                <w:lang w:val="lv-LV"/>
              </w:rPr>
              <w:t xml:space="preserve">Pretendents nodrošina </w:t>
            </w:r>
            <w:proofErr w:type="spellStart"/>
            <w:r w:rsidRPr="008226E3">
              <w:rPr>
                <w:rFonts w:ascii="Times New Roman" w:eastAsia="Times New Roman" w:hAnsi="Times New Roman" w:cs="Times New Roman"/>
                <w:b/>
                <w:bCs/>
                <w:sz w:val="24"/>
                <w:szCs w:val="24"/>
                <w:lang w:val="lv-LV"/>
              </w:rPr>
              <w:t>būvspeciālista</w:t>
            </w:r>
            <w:proofErr w:type="spellEnd"/>
            <w:r w:rsidRPr="008226E3">
              <w:rPr>
                <w:rFonts w:ascii="Times New Roman" w:eastAsia="Times New Roman" w:hAnsi="Times New Roman" w:cs="Times New Roman"/>
                <w:b/>
                <w:bCs/>
                <w:sz w:val="24"/>
                <w:szCs w:val="24"/>
                <w:lang w:val="lv-LV"/>
              </w:rPr>
              <w:t xml:space="preserve">, </w:t>
            </w:r>
            <w:r w:rsidRPr="008226E3">
              <w:rPr>
                <w:rFonts w:ascii="Times New Roman" w:eastAsia="Times New Roman" w:hAnsi="Times New Roman" w:cs="Times New Roman"/>
                <w:sz w:val="24"/>
                <w:szCs w:val="24"/>
                <w:lang w:val="lv-LV"/>
              </w:rPr>
              <w:t xml:space="preserve">kurš izstrādās tehniskās </w:t>
            </w:r>
            <w:r w:rsidRPr="008226E3">
              <w:rPr>
                <w:rFonts w:ascii="Times New Roman" w:eastAsia="Times New Roman" w:hAnsi="Times New Roman" w:cs="Times New Roman"/>
                <w:b/>
                <w:bCs/>
                <w:sz w:val="24"/>
                <w:szCs w:val="24"/>
                <w:lang w:val="lv-LV"/>
              </w:rPr>
              <w:t>apsekošanas atzinumu</w:t>
            </w:r>
            <w:r w:rsidRPr="008226E3">
              <w:rPr>
                <w:rFonts w:ascii="Times New Roman" w:eastAsia="Times New Roman" w:hAnsi="Times New Roman" w:cs="Times New Roman"/>
                <w:sz w:val="24"/>
                <w:szCs w:val="24"/>
                <w:lang w:val="lv-LV"/>
              </w:rPr>
              <w:t xml:space="preserve">, vai būvkomersanta, kas nodarbina konkrēto </w:t>
            </w:r>
            <w:proofErr w:type="spellStart"/>
            <w:r w:rsidRPr="008226E3">
              <w:rPr>
                <w:rFonts w:ascii="Times New Roman" w:eastAsia="Times New Roman" w:hAnsi="Times New Roman" w:cs="Times New Roman"/>
                <w:sz w:val="24"/>
                <w:szCs w:val="24"/>
                <w:lang w:val="lv-LV"/>
              </w:rPr>
              <w:t>būvspeciālistu</w:t>
            </w:r>
            <w:proofErr w:type="spellEnd"/>
            <w:r w:rsidRPr="008226E3">
              <w:rPr>
                <w:rFonts w:ascii="Times New Roman" w:eastAsia="Times New Roman" w:hAnsi="Times New Roman" w:cs="Times New Roman"/>
                <w:sz w:val="24"/>
                <w:szCs w:val="24"/>
                <w:lang w:val="lv-LV"/>
              </w:rPr>
              <w:t xml:space="preserve">, </w:t>
            </w:r>
            <w:r w:rsidRPr="008226E3">
              <w:rPr>
                <w:rFonts w:ascii="Times New Roman" w:eastAsia="Times New Roman" w:hAnsi="Times New Roman" w:cs="Times New Roman"/>
                <w:b/>
                <w:bCs/>
                <w:sz w:val="24"/>
                <w:szCs w:val="24"/>
                <w:lang w:val="lv-LV"/>
              </w:rPr>
              <w:t>profesionālās civiltiesiskās atbildības apdrošināšanas līgumu</w:t>
            </w:r>
            <w:r w:rsidRPr="008226E3">
              <w:rPr>
                <w:rFonts w:ascii="Times New Roman" w:eastAsia="Times New Roman" w:hAnsi="Times New Roman" w:cs="Times New Roman"/>
                <w:sz w:val="24"/>
                <w:szCs w:val="24"/>
                <w:lang w:val="lv-LV"/>
              </w:rPr>
              <w:t xml:space="preserve"> (turpmāk - Polisi) par iesaistīto </w:t>
            </w:r>
            <w:proofErr w:type="spellStart"/>
            <w:r w:rsidRPr="008226E3">
              <w:rPr>
                <w:rFonts w:ascii="Times New Roman" w:eastAsia="Times New Roman" w:hAnsi="Times New Roman" w:cs="Times New Roman"/>
                <w:sz w:val="24"/>
                <w:szCs w:val="24"/>
                <w:lang w:val="lv-LV"/>
              </w:rPr>
              <w:t>būvspeciālistu</w:t>
            </w:r>
            <w:proofErr w:type="spellEnd"/>
            <w:r w:rsidRPr="008226E3">
              <w:rPr>
                <w:rFonts w:ascii="Times New Roman" w:eastAsia="Times New Roman" w:hAnsi="Times New Roman" w:cs="Times New Roman"/>
                <w:sz w:val="24"/>
                <w:szCs w:val="24"/>
                <w:lang w:val="lv-LV"/>
              </w:rPr>
              <w:t xml:space="preserve"> profesionālo civiltiesisko atbildību atbilstoši Ministru kabineta 2014. gada 19. augusta noteikumiem Nr. 502 “Noteikumi par </w:t>
            </w:r>
            <w:proofErr w:type="spellStart"/>
            <w:r w:rsidRPr="008226E3">
              <w:rPr>
                <w:rFonts w:ascii="Times New Roman" w:eastAsia="Times New Roman" w:hAnsi="Times New Roman" w:cs="Times New Roman"/>
                <w:sz w:val="24"/>
                <w:szCs w:val="24"/>
                <w:lang w:val="lv-LV"/>
              </w:rPr>
              <w:t>būvspeciālistu</w:t>
            </w:r>
            <w:proofErr w:type="spellEnd"/>
            <w:r w:rsidRPr="008226E3">
              <w:rPr>
                <w:rFonts w:ascii="Times New Roman" w:eastAsia="Times New Roman" w:hAnsi="Times New Roman" w:cs="Times New Roman"/>
                <w:sz w:val="24"/>
                <w:szCs w:val="24"/>
                <w:lang w:val="lv-LV"/>
              </w:rPr>
              <w:t xml:space="preserve"> un būvdarbu veicēju civiltiesiskās atbildības obligāto apdrošināšanu”.</w:t>
            </w:r>
          </w:p>
        </w:tc>
        <w:tc>
          <w:tcPr>
            <w:tcW w:w="2765" w:type="pct"/>
            <w:tcBorders>
              <w:top w:val="single" w:sz="4" w:space="0" w:color="auto"/>
              <w:left w:val="single" w:sz="4" w:space="0" w:color="auto"/>
              <w:bottom w:val="single" w:sz="4" w:space="0" w:color="auto"/>
              <w:right w:val="single" w:sz="4" w:space="0" w:color="auto"/>
            </w:tcBorders>
            <w:shd w:val="clear" w:color="auto" w:fill="auto"/>
          </w:tcPr>
          <w:p w:rsidR="001F6021" w:rsidRPr="008226E3" w:rsidRDefault="001F6021" w:rsidP="001F6021">
            <w:pPr>
              <w:widowControl w:val="0"/>
              <w:spacing w:after="0" w:line="240" w:lineRule="auto"/>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b/>
                <w:bCs/>
                <w:sz w:val="24"/>
                <w:szCs w:val="24"/>
                <w:lang w:val="lv-LV"/>
              </w:rPr>
              <w:t>Apliecinājums</w:t>
            </w:r>
            <w:r w:rsidRPr="008226E3">
              <w:rPr>
                <w:rFonts w:ascii="Times New Roman" w:eastAsia="Times New Roman" w:hAnsi="Times New Roman" w:cs="Times New Roman"/>
                <w:sz w:val="24"/>
                <w:szCs w:val="24"/>
                <w:lang w:val="lv-LV"/>
              </w:rPr>
              <w:t>, ka gadījumā, ja ar Pretendentu noslēgs līgumu, Pretendents 10 darbdienu laikā pēc Līguma spēkā stāšanās iesniegs kredītiestādes vai apdrošināšanas sabiedrības civiltiesiskās  atbildības apdrošināšanas polisi atbilstoši Nolikuma noteikumiem.</w:t>
            </w:r>
          </w:p>
        </w:tc>
      </w:tr>
      <w:tr w:rsidR="001F6021" w:rsidRPr="008226E3" w:rsidTr="001F6021">
        <w:trPr>
          <w:trHeight w:val="362"/>
        </w:trPr>
        <w:tc>
          <w:tcPr>
            <w:tcW w:w="403" w:type="pct"/>
            <w:shd w:val="clear" w:color="auto" w:fill="F2F2F2" w:themeFill="background1" w:themeFillShade="F2"/>
          </w:tcPr>
          <w:p w:rsidR="001F6021" w:rsidRPr="008226E3" w:rsidRDefault="001F6021" w:rsidP="001F6021">
            <w:pPr>
              <w:widowControl w:val="0"/>
              <w:numPr>
                <w:ilvl w:val="1"/>
                <w:numId w:val="1"/>
              </w:numPr>
              <w:overflowPunct w:val="0"/>
              <w:autoSpaceDE w:val="0"/>
              <w:autoSpaceDN w:val="0"/>
              <w:adjustRightInd w:val="0"/>
              <w:spacing w:after="0" w:line="240" w:lineRule="auto"/>
              <w:ind w:left="357" w:hanging="357"/>
              <w:jc w:val="both"/>
              <w:rPr>
                <w:rFonts w:ascii="Times New Roman" w:eastAsia="Times New Roman" w:hAnsi="Times New Roman" w:cs="Times New Roman"/>
                <w:b/>
                <w:sz w:val="24"/>
                <w:szCs w:val="24"/>
                <w:lang w:val="lv-LV"/>
              </w:rPr>
            </w:pPr>
          </w:p>
        </w:tc>
        <w:tc>
          <w:tcPr>
            <w:tcW w:w="4597" w:type="pct"/>
            <w:gridSpan w:val="2"/>
            <w:shd w:val="clear" w:color="auto" w:fill="F2F2F2" w:themeFill="background1" w:themeFillShade="F2"/>
            <w:vAlign w:val="center"/>
          </w:tcPr>
          <w:p w:rsidR="001F6021" w:rsidRPr="008226E3" w:rsidRDefault="001F6021" w:rsidP="004C18EA">
            <w:pPr>
              <w:widowControl w:val="0"/>
              <w:spacing w:after="0" w:line="240" w:lineRule="auto"/>
              <w:rPr>
                <w:rFonts w:ascii="Times New Roman" w:eastAsia="Times New Roman" w:hAnsi="Times New Roman" w:cs="Times New Roman"/>
                <w:sz w:val="24"/>
                <w:szCs w:val="24"/>
                <w:lang w:val="lv-LV"/>
              </w:rPr>
            </w:pPr>
            <w:r w:rsidRPr="008226E3">
              <w:rPr>
                <w:rFonts w:ascii="Times New Roman" w:eastAsia="Times New Roman" w:hAnsi="Times New Roman" w:cs="Times New Roman"/>
                <w:b/>
                <w:sz w:val="24"/>
                <w:szCs w:val="24"/>
                <w:lang w:val="lv-LV"/>
              </w:rPr>
              <w:t>Pretendenta tehniskās un profesionālās spējas</w:t>
            </w:r>
          </w:p>
        </w:tc>
      </w:tr>
      <w:tr w:rsidR="001F6021" w:rsidRPr="008226E3" w:rsidTr="001F6021">
        <w:trPr>
          <w:trHeight w:val="463"/>
        </w:trPr>
        <w:tc>
          <w:tcPr>
            <w:tcW w:w="403" w:type="pct"/>
          </w:tcPr>
          <w:p w:rsidR="001F6021" w:rsidRPr="008226E3" w:rsidRDefault="001F6021" w:rsidP="001F6021">
            <w:pPr>
              <w:widowControl w:val="0"/>
              <w:numPr>
                <w:ilvl w:val="2"/>
                <w:numId w:val="1"/>
              </w:numPr>
              <w:overflowPunct w:val="0"/>
              <w:autoSpaceDE w:val="0"/>
              <w:autoSpaceDN w:val="0"/>
              <w:adjustRightInd w:val="0"/>
              <w:spacing w:after="0" w:line="240" w:lineRule="auto"/>
              <w:ind w:hanging="1245"/>
              <w:jc w:val="both"/>
              <w:rPr>
                <w:rFonts w:ascii="Times New Roman" w:eastAsia="Times New Roman" w:hAnsi="Times New Roman" w:cs="Times New Roman"/>
                <w:b/>
                <w:sz w:val="24"/>
                <w:szCs w:val="24"/>
                <w:lang w:val="lv-LV"/>
              </w:rPr>
            </w:pPr>
          </w:p>
        </w:tc>
        <w:tc>
          <w:tcPr>
            <w:tcW w:w="1831" w:type="pct"/>
            <w:shd w:val="clear" w:color="auto" w:fill="FFFFFF" w:themeFill="background1"/>
          </w:tcPr>
          <w:p w:rsidR="001F6021" w:rsidRPr="008226E3" w:rsidRDefault="001F6021" w:rsidP="004C18EA">
            <w:pPr>
              <w:spacing w:after="0" w:line="240" w:lineRule="auto"/>
              <w:ind w:firstLine="34"/>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sz w:val="24"/>
                <w:szCs w:val="24"/>
                <w:shd w:val="clear" w:color="auto" w:fill="FFFFFF"/>
                <w:lang w:val="lv-LV"/>
              </w:rPr>
              <w:t xml:space="preserve">Pretendents iepriekšējo trīs gadu laikā (no 2021. gada 1. janvāra līdz piedāvājumu iesniegšanas termiņa beigām) ir </w:t>
            </w:r>
            <w:r w:rsidRPr="008226E3">
              <w:rPr>
                <w:rFonts w:ascii="Times New Roman" w:eastAsia="Times New Roman" w:hAnsi="Times New Roman" w:cs="Times New Roman"/>
                <w:b/>
                <w:bCs/>
                <w:sz w:val="24"/>
                <w:szCs w:val="24"/>
                <w:shd w:val="clear" w:color="auto" w:fill="FFFFFF"/>
                <w:lang w:val="lv-LV"/>
              </w:rPr>
              <w:t>veicis ēku apsekošanu un izstrādājis vismaz  trīs ēku un/vai būvju tehniskās apsekošanas  atzinumus</w:t>
            </w:r>
            <w:r w:rsidRPr="008226E3">
              <w:rPr>
                <w:rFonts w:ascii="Times New Roman" w:eastAsia="Times New Roman" w:hAnsi="Times New Roman" w:cs="Times New Roman"/>
                <w:sz w:val="24"/>
                <w:szCs w:val="24"/>
                <w:shd w:val="clear" w:color="auto" w:fill="FFFFFF"/>
                <w:lang w:val="lv-LV"/>
              </w:rPr>
              <w:t xml:space="preserve"> (2. un 3. grupas publiskās ēkas) -  piedāvājumam vismaz  trīs pozitīvas pasūtītāja atsauksmes.</w:t>
            </w:r>
          </w:p>
        </w:tc>
        <w:tc>
          <w:tcPr>
            <w:tcW w:w="2765" w:type="pct"/>
            <w:shd w:val="clear" w:color="auto" w:fill="auto"/>
          </w:tcPr>
          <w:p w:rsidR="001F6021" w:rsidRPr="008226E3" w:rsidRDefault="001F6021" w:rsidP="001F6021">
            <w:pPr>
              <w:numPr>
                <w:ilvl w:val="0"/>
                <w:numId w:val="3"/>
              </w:numPr>
              <w:autoSpaceDE w:val="0"/>
              <w:autoSpaceDN w:val="0"/>
              <w:adjustRightInd w:val="0"/>
              <w:spacing w:after="0" w:line="240" w:lineRule="auto"/>
              <w:ind w:left="314" w:hanging="314"/>
              <w:jc w:val="both"/>
              <w:rPr>
                <w:rFonts w:ascii="Times New Roman" w:eastAsia="Times New Roman" w:hAnsi="Times New Roman" w:cs="Times New Roman"/>
                <w:bCs/>
                <w:color w:val="000000"/>
                <w:sz w:val="24"/>
                <w:szCs w:val="24"/>
                <w:lang w:val="lv-LV" w:eastAsia="lv-LV"/>
              </w:rPr>
            </w:pPr>
            <w:r w:rsidRPr="008226E3">
              <w:rPr>
                <w:rFonts w:ascii="Times New Roman" w:eastAsia="Times New Roman" w:hAnsi="Times New Roman" w:cs="Times New Roman"/>
                <w:b/>
                <w:color w:val="000000"/>
                <w:sz w:val="24"/>
                <w:szCs w:val="24"/>
                <w:lang w:val="lv-LV"/>
              </w:rPr>
              <w:t xml:space="preserve">Pieredzes apliecinājums </w:t>
            </w:r>
            <w:r>
              <w:rPr>
                <w:rFonts w:ascii="Times New Roman" w:eastAsia="Times New Roman" w:hAnsi="Times New Roman" w:cs="Times New Roman"/>
                <w:bCs/>
                <w:color w:val="000000"/>
                <w:sz w:val="24"/>
                <w:szCs w:val="24"/>
                <w:lang w:val="lv-LV"/>
              </w:rPr>
              <w:t>par vismaz 5 ēkām brīvā formā.</w:t>
            </w:r>
          </w:p>
          <w:p w:rsidR="001F6021" w:rsidRPr="008226E3" w:rsidRDefault="001F6021" w:rsidP="001F6021">
            <w:pPr>
              <w:numPr>
                <w:ilvl w:val="0"/>
                <w:numId w:val="3"/>
              </w:numPr>
              <w:autoSpaceDE w:val="0"/>
              <w:autoSpaceDN w:val="0"/>
              <w:adjustRightInd w:val="0"/>
              <w:spacing w:after="0" w:line="240" w:lineRule="auto"/>
              <w:ind w:left="314" w:hanging="314"/>
              <w:jc w:val="both"/>
              <w:rPr>
                <w:rFonts w:ascii="Times New Roman" w:eastAsia="Times New Roman" w:hAnsi="Times New Roman" w:cs="Times New Roman"/>
                <w:bCs/>
                <w:color w:val="000000"/>
                <w:sz w:val="24"/>
                <w:szCs w:val="24"/>
                <w:lang w:val="lv-LV" w:eastAsia="lv-LV"/>
              </w:rPr>
            </w:pPr>
            <w:r w:rsidRPr="008226E3">
              <w:rPr>
                <w:rFonts w:ascii="Times New Roman" w:eastAsia="Times New Roman" w:hAnsi="Times New Roman" w:cs="Times New Roman"/>
                <w:b/>
                <w:color w:val="000000"/>
                <w:sz w:val="24"/>
                <w:szCs w:val="24"/>
                <w:lang w:val="lv-LV" w:eastAsia="lv-LV"/>
              </w:rPr>
              <w:t>atsauksme</w:t>
            </w:r>
            <w:r w:rsidRPr="008226E3">
              <w:rPr>
                <w:rFonts w:ascii="Times New Roman" w:eastAsia="Times New Roman" w:hAnsi="Times New Roman" w:cs="Times New Roman"/>
                <w:bCs/>
                <w:color w:val="000000"/>
                <w:sz w:val="24"/>
                <w:szCs w:val="24"/>
                <w:lang w:val="lv-LV" w:eastAsia="lv-LV"/>
              </w:rPr>
              <w:t>, kas apliecina Pretendenta pieredzi;</w:t>
            </w:r>
          </w:p>
          <w:p w:rsidR="001F6021" w:rsidRPr="008226E3" w:rsidRDefault="001F6021" w:rsidP="001F6021">
            <w:pPr>
              <w:numPr>
                <w:ilvl w:val="0"/>
                <w:numId w:val="3"/>
              </w:numPr>
              <w:autoSpaceDE w:val="0"/>
              <w:autoSpaceDN w:val="0"/>
              <w:adjustRightInd w:val="0"/>
              <w:spacing w:after="0" w:line="240" w:lineRule="auto"/>
              <w:ind w:left="314" w:hanging="314"/>
              <w:jc w:val="both"/>
              <w:rPr>
                <w:rFonts w:ascii="Times New Roman" w:eastAsia="Times New Roman" w:hAnsi="Times New Roman" w:cs="Times New Roman"/>
                <w:bCs/>
                <w:color w:val="000000"/>
                <w:sz w:val="24"/>
                <w:szCs w:val="24"/>
                <w:lang w:val="lv-LV" w:eastAsia="lv-LV"/>
              </w:rPr>
            </w:pPr>
            <w:r w:rsidRPr="008226E3">
              <w:rPr>
                <w:rFonts w:ascii="Times New Roman" w:eastAsia="Times New Roman" w:hAnsi="Times New Roman" w:cs="Times New Roman"/>
                <w:b/>
                <w:color w:val="000000"/>
                <w:sz w:val="24"/>
                <w:szCs w:val="24"/>
                <w:lang w:val="lv-LV" w:eastAsia="lv-LV"/>
              </w:rPr>
              <w:t>BIS lietas izdruku</w:t>
            </w:r>
            <w:r w:rsidRPr="008226E3">
              <w:rPr>
                <w:rFonts w:ascii="Times New Roman" w:eastAsia="Times New Roman" w:hAnsi="Times New Roman" w:cs="Times New Roman"/>
                <w:bCs/>
                <w:color w:val="000000"/>
                <w:sz w:val="24"/>
                <w:szCs w:val="24"/>
                <w:lang w:val="lv-LV" w:eastAsia="lv-LV"/>
              </w:rPr>
              <w:t xml:space="preserve"> par katru apsekoto ēku un/vai būvi.</w:t>
            </w:r>
          </w:p>
        </w:tc>
      </w:tr>
      <w:tr w:rsidR="001F6021" w:rsidRPr="008226E3" w:rsidTr="001F6021">
        <w:trPr>
          <w:trHeight w:val="1481"/>
        </w:trPr>
        <w:tc>
          <w:tcPr>
            <w:tcW w:w="403" w:type="pct"/>
          </w:tcPr>
          <w:p w:rsidR="001F6021" w:rsidRPr="008226E3" w:rsidRDefault="001F6021" w:rsidP="001F6021">
            <w:pPr>
              <w:widowControl w:val="0"/>
              <w:numPr>
                <w:ilvl w:val="2"/>
                <w:numId w:val="1"/>
              </w:numPr>
              <w:overflowPunct w:val="0"/>
              <w:autoSpaceDE w:val="0"/>
              <w:autoSpaceDN w:val="0"/>
              <w:adjustRightInd w:val="0"/>
              <w:spacing w:after="0" w:line="240" w:lineRule="auto"/>
              <w:ind w:hanging="1260"/>
              <w:jc w:val="both"/>
              <w:rPr>
                <w:rFonts w:ascii="Times New Roman" w:eastAsia="Times New Roman" w:hAnsi="Times New Roman" w:cs="Times New Roman"/>
                <w:b/>
                <w:sz w:val="24"/>
                <w:szCs w:val="24"/>
                <w:lang w:val="lv-LV"/>
              </w:rPr>
            </w:pPr>
          </w:p>
        </w:tc>
        <w:tc>
          <w:tcPr>
            <w:tcW w:w="1831" w:type="pct"/>
            <w:shd w:val="clear" w:color="auto" w:fill="auto"/>
          </w:tcPr>
          <w:p w:rsidR="001F6021" w:rsidRPr="008226E3" w:rsidRDefault="001F6021" w:rsidP="001F6021">
            <w:pPr>
              <w:spacing w:after="0" w:line="240" w:lineRule="auto"/>
              <w:jc w:val="both"/>
              <w:rPr>
                <w:rFonts w:ascii="Times New Roman" w:eastAsia="Times New Roman" w:hAnsi="Times New Roman" w:cs="Times New Roman"/>
                <w:i/>
                <w:iCs/>
                <w:lang w:val="lv-LV"/>
              </w:rPr>
            </w:pPr>
            <w:r w:rsidRPr="008226E3">
              <w:rPr>
                <w:rFonts w:ascii="Times New Roman" w:eastAsia="Times New Roman" w:hAnsi="Times New Roman" w:cs="Times New Roman"/>
                <w:sz w:val="24"/>
                <w:szCs w:val="24"/>
                <w:lang w:val="lv-LV"/>
              </w:rPr>
              <w:t xml:space="preserve">Pretendents līguma izpildē iesaista vismaz vienu </w:t>
            </w:r>
            <w:proofErr w:type="spellStart"/>
            <w:r w:rsidRPr="008226E3">
              <w:rPr>
                <w:rFonts w:ascii="Times New Roman" w:eastAsia="Times New Roman" w:hAnsi="Times New Roman" w:cs="Times New Roman"/>
                <w:sz w:val="24"/>
                <w:szCs w:val="24"/>
                <w:lang w:val="lv-LV"/>
              </w:rPr>
              <w:t>būvspeciālistu</w:t>
            </w:r>
            <w:proofErr w:type="spellEnd"/>
            <w:r w:rsidRPr="008226E3">
              <w:rPr>
                <w:rFonts w:ascii="Times New Roman" w:eastAsia="Times New Roman" w:hAnsi="Times New Roman" w:cs="Times New Roman"/>
                <w:sz w:val="24"/>
                <w:szCs w:val="24"/>
                <w:lang w:val="lv-LV"/>
              </w:rPr>
              <w:t xml:space="preserve">, kuram ir spēkā esošs normatīvajos aktos noteiktajā kārtībā izsniegts </w:t>
            </w:r>
            <w:proofErr w:type="spellStart"/>
            <w:r w:rsidRPr="008226E3">
              <w:rPr>
                <w:rFonts w:ascii="Times New Roman" w:eastAsia="Times New Roman" w:hAnsi="Times New Roman" w:cs="Times New Roman"/>
                <w:sz w:val="24"/>
                <w:szCs w:val="24"/>
                <w:lang w:val="lv-LV"/>
              </w:rPr>
              <w:t>būvspeciālista</w:t>
            </w:r>
            <w:proofErr w:type="spellEnd"/>
            <w:r w:rsidRPr="008226E3">
              <w:rPr>
                <w:rFonts w:ascii="Times New Roman" w:eastAsia="Times New Roman" w:hAnsi="Times New Roman" w:cs="Times New Roman"/>
                <w:sz w:val="24"/>
                <w:szCs w:val="24"/>
                <w:lang w:val="lv-LV"/>
              </w:rPr>
              <w:t xml:space="preserve"> sertifikāts darbības jomā, kas ietver tiesības nodarboties ar ēku (būvju) tehnisko apsekošanu saskaņā ar Ministru kabineta 2021. gada 15. jūnija noteikumiem Nr. 384 “Būvju tehniskās apsekošanas būvnormatīvs LBN 405-21”.</w:t>
            </w:r>
          </w:p>
        </w:tc>
        <w:tc>
          <w:tcPr>
            <w:tcW w:w="2765" w:type="pct"/>
            <w:shd w:val="clear" w:color="auto" w:fill="auto"/>
          </w:tcPr>
          <w:p w:rsidR="001F6021" w:rsidRPr="008226E3" w:rsidRDefault="001F6021" w:rsidP="001F6021">
            <w:pPr>
              <w:numPr>
                <w:ilvl w:val="0"/>
                <w:numId w:val="6"/>
              </w:numPr>
              <w:spacing w:after="0" w:line="240" w:lineRule="auto"/>
              <w:ind w:left="379" w:hanging="379"/>
              <w:jc w:val="both"/>
              <w:rPr>
                <w:rFonts w:ascii="Times New Roman" w:eastAsia="Times New Roman" w:hAnsi="Times New Roman" w:cs="Times New Roman"/>
                <w:sz w:val="24"/>
                <w:szCs w:val="24"/>
                <w:lang w:val="lv-LV"/>
              </w:rPr>
            </w:pPr>
            <w:r w:rsidRPr="008226E3">
              <w:rPr>
                <w:rFonts w:ascii="Times New Roman" w:eastAsia="Times New Roman" w:hAnsi="Times New Roman" w:cs="Times New Roman"/>
                <w:b/>
                <w:bCs/>
                <w:iCs/>
                <w:sz w:val="24"/>
                <w:szCs w:val="24"/>
                <w:lang w:val="lv-LV"/>
              </w:rPr>
              <w:t xml:space="preserve">Pretendenta iesaistīto </w:t>
            </w:r>
            <w:proofErr w:type="spellStart"/>
            <w:r w:rsidRPr="008226E3">
              <w:rPr>
                <w:rFonts w:ascii="Times New Roman" w:eastAsia="Times New Roman" w:hAnsi="Times New Roman" w:cs="Times New Roman"/>
                <w:b/>
                <w:bCs/>
                <w:iCs/>
                <w:sz w:val="24"/>
                <w:szCs w:val="24"/>
                <w:lang w:val="lv-LV"/>
              </w:rPr>
              <w:t>būvspeciālistu</w:t>
            </w:r>
            <w:proofErr w:type="spellEnd"/>
            <w:r w:rsidRPr="008226E3">
              <w:rPr>
                <w:rFonts w:ascii="Times New Roman" w:eastAsia="Times New Roman" w:hAnsi="Times New Roman" w:cs="Times New Roman"/>
                <w:b/>
                <w:bCs/>
                <w:iCs/>
                <w:sz w:val="24"/>
                <w:szCs w:val="24"/>
                <w:lang w:val="lv-LV"/>
              </w:rPr>
              <w:t xml:space="preserve"> saraksts </w:t>
            </w:r>
            <w:r>
              <w:rPr>
                <w:rFonts w:ascii="Times New Roman" w:eastAsia="Times New Roman" w:hAnsi="Times New Roman" w:cs="Times New Roman"/>
                <w:iCs/>
                <w:sz w:val="24"/>
                <w:szCs w:val="24"/>
                <w:lang w:val="lv-LV"/>
              </w:rPr>
              <w:t>brīvā formā;</w:t>
            </w:r>
          </w:p>
          <w:p w:rsidR="001F6021" w:rsidRPr="008226E3" w:rsidRDefault="001F6021" w:rsidP="001F6021">
            <w:pPr>
              <w:numPr>
                <w:ilvl w:val="0"/>
                <w:numId w:val="6"/>
              </w:numPr>
              <w:spacing w:after="0" w:line="240" w:lineRule="auto"/>
              <w:ind w:left="379" w:hanging="426"/>
              <w:jc w:val="both"/>
              <w:rPr>
                <w:rFonts w:ascii="Times New Roman" w:eastAsia="Times New Roman" w:hAnsi="Times New Roman" w:cs="Times New Roman"/>
                <w:sz w:val="24"/>
                <w:szCs w:val="24"/>
                <w:lang w:val="lv-LV" w:eastAsia="lv-LV"/>
              </w:rPr>
            </w:pPr>
            <w:proofErr w:type="spellStart"/>
            <w:r w:rsidRPr="008226E3">
              <w:rPr>
                <w:rFonts w:ascii="Times New Roman" w:eastAsia="Times New Roman" w:hAnsi="Times New Roman" w:cs="Times New Roman"/>
                <w:b/>
                <w:bCs/>
                <w:sz w:val="24"/>
                <w:szCs w:val="24"/>
                <w:lang w:val="lv-LV"/>
              </w:rPr>
              <w:t>būvspeciālista</w:t>
            </w:r>
            <w:proofErr w:type="spellEnd"/>
            <w:r w:rsidRPr="008226E3">
              <w:rPr>
                <w:rFonts w:ascii="Times New Roman" w:eastAsia="Times New Roman" w:hAnsi="Times New Roman" w:cs="Times New Roman"/>
                <w:b/>
                <w:bCs/>
                <w:sz w:val="24"/>
                <w:szCs w:val="24"/>
                <w:lang w:val="lv-LV"/>
              </w:rPr>
              <w:t xml:space="preserve"> apliecinājums</w:t>
            </w:r>
            <w:r w:rsidRPr="008226E3">
              <w:rPr>
                <w:rFonts w:ascii="Times New Roman" w:eastAsia="Times New Roman" w:hAnsi="Times New Roman" w:cs="Times New Roman"/>
                <w:sz w:val="24"/>
                <w:szCs w:val="24"/>
                <w:lang w:val="lv-LV"/>
              </w:rPr>
              <w:t xml:space="preserve"> </w:t>
            </w:r>
            <w:r>
              <w:rPr>
                <w:rFonts w:ascii="Times New Roman" w:eastAsia="Times New Roman" w:hAnsi="Times New Roman" w:cs="Times New Roman"/>
                <w:iCs/>
                <w:sz w:val="24"/>
                <w:szCs w:val="24"/>
                <w:lang w:val="lv-LV"/>
              </w:rPr>
              <w:t>brīvā formā</w:t>
            </w:r>
            <w:r w:rsidRPr="008226E3">
              <w:rPr>
                <w:rFonts w:ascii="Times New Roman" w:eastAsia="Times New Roman" w:hAnsi="Times New Roman" w:cs="Times New Roman"/>
                <w:sz w:val="24"/>
                <w:szCs w:val="24"/>
                <w:lang w:val="lv-LV"/>
              </w:rPr>
              <w:t xml:space="preserve">.  </w:t>
            </w:r>
          </w:p>
        </w:tc>
      </w:tr>
    </w:tbl>
    <w:p w:rsidR="001F6021" w:rsidRPr="001F6021" w:rsidRDefault="001F6021" w:rsidP="001F6021">
      <w:pPr>
        <w:rPr>
          <w:rFonts w:ascii="Times New Roman" w:hAnsi="Times New Roman" w:cs="Times New Roman"/>
          <w:sz w:val="24"/>
          <w:szCs w:val="24"/>
          <w:lang w:val="lv-LV"/>
        </w:rPr>
      </w:pPr>
    </w:p>
    <w:sectPr w:rsidR="001F6021" w:rsidRPr="001F60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68C"/>
    <w:multiLevelType w:val="hybridMultilevel"/>
    <w:tmpl w:val="113A58FC"/>
    <w:lvl w:ilvl="0" w:tplc="4F943818">
      <w:start w:val="1"/>
      <w:numFmt w:val="lowerLetter"/>
      <w:lvlText w:val="%1)"/>
      <w:lvlJc w:val="left"/>
      <w:pPr>
        <w:ind w:left="360" w:hanging="360"/>
      </w:pPr>
      <w:rPr>
        <w:rFonts w:hint="default"/>
        <w:b w:val="0"/>
        <w:i w:val="0"/>
        <w:sz w:val="22"/>
        <w:szCs w:val="22"/>
      </w:rPr>
    </w:lvl>
    <w:lvl w:ilvl="1" w:tplc="B41AD058">
      <w:start w:val="1"/>
      <w:numFmt w:val="bullet"/>
      <w:lvlText w:val=""/>
      <w:lvlJc w:val="left"/>
      <w:pPr>
        <w:ind w:left="1080" w:hanging="360"/>
      </w:pPr>
      <w:rPr>
        <w:rFonts w:ascii="Symbol" w:hAnsi="Symbol" w:hint="default"/>
        <w:b w:val="0"/>
        <w:i w:val="0"/>
        <w:sz w:val="20"/>
      </w:rPr>
    </w:lvl>
    <w:lvl w:ilvl="2" w:tplc="B576E87C">
      <w:numFmt w:val="bullet"/>
      <w:lvlText w:val="-"/>
      <w:lvlJc w:val="left"/>
      <w:pPr>
        <w:ind w:left="1800" w:hanging="360"/>
      </w:pPr>
      <w:rPr>
        <w:rFonts w:ascii="Times New Roman" w:eastAsia="Times New Roman" w:hAnsi="Times New Roman" w:cs="Times New Roman"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2BB86765"/>
    <w:multiLevelType w:val="hybridMultilevel"/>
    <w:tmpl w:val="A23075F6"/>
    <w:lvl w:ilvl="0" w:tplc="C8F29EF6">
      <w:start w:val="1"/>
      <w:numFmt w:val="lowerLetter"/>
      <w:lvlText w:val="%1)"/>
      <w:lvlJc w:val="left"/>
      <w:pPr>
        <w:ind w:left="720" w:hanging="360"/>
      </w:pPr>
      <w:rPr>
        <w:rFonts w:hint="default"/>
        <w:b w:val="0"/>
        <w:bCs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4A7D5A"/>
    <w:multiLevelType w:val="hybridMultilevel"/>
    <w:tmpl w:val="1E3AF9A0"/>
    <w:lvl w:ilvl="0" w:tplc="34783A4E">
      <w:start w:val="1"/>
      <w:numFmt w:val="lowerLetter"/>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8F646C"/>
    <w:multiLevelType w:val="hybridMultilevel"/>
    <w:tmpl w:val="7D30FEFE"/>
    <w:lvl w:ilvl="0" w:tplc="1F265E26">
      <w:start w:val="1"/>
      <w:numFmt w:val="lowerLetter"/>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7C4073"/>
    <w:multiLevelType w:val="multilevel"/>
    <w:tmpl w:val="59988206"/>
    <w:lvl w:ilvl="0">
      <w:start w:val="2"/>
      <w:numFmt w:val="decimal"/>
      <w:lvlText w:val="%1."/>
      <w:lvlJc w:val="left"/>
      <w:pPr>
        <w:ind w:left="360" w:hanging="360"/>
      </w:pPr>
      <w:rPr>
        <w:rFonts w:hint="default"/>
        <w:b/>
      </w:rPr>
    </w:lvl>
    <w:lvl w:ilvl="1">
      <w:start w:val="1"/>
      <w:numFmt w:val="decimal"/>
      <w:lvlText w:val="%1.%2."/>
      <w:lvlJc w:val="left"/>
      <w:pPr>
        <w:ind w:left="1530" w:hanging="360"/>
      </w:pPr>
      <w:rPr>
        <w:rFonts w:hint="default"/>
        <w:b w:val="0"/>
        <w:strike w:val="0"/>
        <w:color w:val="auto"/>
      </w:rPr>
    </w:lvl>
    <w:lvl w:ilvl="2">
      <w:start w:val="1"/>
      <w:numFmt w:val="decimal"/>
      <w:lvlText w:val="%1.%2.%3."/>
      <w:lvlJc w:val="left"/>
      <w:pPr>
        <w:ind w:left="1260" w:hanging="720"/>
      </w:pPr>
      <w:rPr>
        <w:rFonts w:hint="default"/>
        <w:b w:val="0"/>
        <w:color w:val="auto"/>
      </w:rPr>
    </w:lvl>
    <w:lvl w:ilvl="3">
      <w:start w:val="1"/>
      <w:numFmt w:val="decimal"/>
      <w:lvlText w:val="%1.%2.%3.%4."/>
      <w:lvlJc w:val="left"/>
      <w:pPr>
        <w:ind w:left="1003" w:hanging="720"/>
      </w:pPr>
      <w:rPr>
        <w:rFonts w:hint="default"/>
        <w:b w:val="0"/>
        <w:color w:val="auto"/>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BA57F9F"/>
    <w:multiLevelType w:val="hybridMultilevel"/>
    <w:tmpl w:val="038E9750"/>
    <w:lvl w:ilvl="0" w:tplc="7B2481F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E"/>
    <w:rsid w:val="001F6021"/>
    <w:rsid w:val="002D1BEE"/>
    <w:rsid w:val="0033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993E"/>
  <w15:chartTrackingRefBased/>
  <w15:docId w15:val="{1968CF6B-E62B-4EA5-9BB8-5D15084A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3897</Characters>
  <Application>Microsoft Office Word</Application>
  <DocSecurity>0</DocSecurity>
  <Lines>32</Lines>
  <Paragraphs>9</Paragraphs>
  <ScaleCrop>false</ScaleCrop>
  <Company>Microsoft</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Ņikita Aleksejevs</dc:creator>
  <cp:keywords/>
  <dc:description/>
  <cp:lastModifiedBy>Ņikita Aleksejevs</cp:lastModifiedBy>
  <cp:revision>2</cp:revision>
  <dcterms:created xsi:type="dcterms:W3CDTF">2024-07-16T09:46:00Z</dcterms:created>
  <dcterms:modified xsi:type="dcterms:W3CDTF">2024-07-16T09:55:00Z</dcterms:modified>
</cp:coreProperties>
</file>